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3466D6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3466D6">
        <w:rPr>
          <w:noProof/>
          <w:u w:val="single"/>
          <w:lang w:val="en-US"/>
        </w:rPr>
        <w:t>Notatka prasowa</w:t>
      </w:r>
      <w:r w:rsidRPr="003466D6">
        <w:rPr>
          <w:b w:val="0"/>
          <w:sz w:val="22"/>
          <w:szCs w:val="22"/>
          <w:lang w:val="en-US"/>
        </w:rPr>
        <w:t xml:space="preserve"> </w:t>
      </w:r>
      <w:r w:rsidRPr="003466D6">
        <w:rPr>
          <w:b w:val="0"/>
          <w:sz w:val="22"/>
          <w:szCs w:val="22"/>
          <w:lang w:val="en-US"/>
        </w:rPr>
        <w:tab/>
        <w:t>Sulz am Neckar, Styczeń 2018</w:t>
      </w:r>
    </w:p>
    <w:p w:rsidR="002E6D66" w:rsidRPr="003466D6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3466D6" w:rsidRDefault="002E6D66" w:rsidP="00DE4BEA">
      <w:pPr>
        <w:rPr>
          <w:rFonts w:cs="Arial"/>
          <w:sz w:val="22"/>
          <w:szCs w:val="22"/>
          <w:lang w:val="en-US"/>
        </w:rPr>
      </w:pPr>
    </w:p>
    <w:p w:rsidR="00C35191" w:rsidRPr="003466D6" w:rsidRDefault="0027200D" w:rsidP="00C35191">
      <w:pPr>
        <w:rPr>
          <w:rFonts w:cs="Arial"/>
          <w:sz w:val="22"/>
          <w:szCs w:val="22"/>
          <w:highlight w:val="yellow"/>
          <w:lang w:val="en-US"/>
        </w:rPr>
      </w:pPr>
      <w:r w:rsidRPr="003466D6">
        <w:rPr>
          <w:rFonts w:cs="Arial"/>
          <w:sz w:val="22"/>
          <w:szCs w:val="22"/>
          <w:lang w:val="en-US"/>
        </w:rPr>
        <w:t>Stabilność formy do 250°C</w:t>
      </w:r>
    </w:p>
    <w:p w:rsidR="0027200D" w:rsidRPr="006B6604" w:rsidRDefault="0027200D" w:rsidP="0027200D">
      <w:pPr>
        <w:pStyle w:val="berschrift1"/>
      </w:pPr>
      <w:r>
        <w:t>KIPP przedstawia żaroodporne uchwyty pałąkowe z termoplastu</w:t>
      </w:r>
    </w:p>
    <w:p w:rsidR="00E24ACD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</w:p>
    <w:p w:rsidR="00E24ACD" w:rsidRPr="005325A5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Nowe uchwyty pałąkowe oferowane przez HEINRICH KIPP WERK są niezawodnie sprawdzają się w wysokich temperaturach. Żaroodporne uchwyty nie są jedyną nowością: KIPP poszerza swoją gamę produktów o stabilne uchwyty pałąkowe oraz krótkie rękojeści cechujące się dużą trwałością.</w:t>
      </w:r>
    </w:p>
    <w:p w:rsidR="00415E0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Nowe uchwyty pałąkowe KIPP są odporne na ciągłe obciążenie termiczne wynoszące do 150°C oraz krótkotrwałe działanie wysokiej temperatury do 250°C. Mogą być wykorzystywane w technice medycznej oraz w tych elementach konstrukcyjnych urządzeń, które są narażone na działanie wysokich temperatur.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Podstawą wysokiej odporności termicznej jest wzmocniony włóknami szklanymi termoplast PPA. W przeciwieństwie do tradycyjnych tworzyw sztucznych kompozyt ten wyróżnia się dużą odpornością na odkształcenia. Czarne uchwyty pałąkowe, które są dostępne od ręki w różnych długościach, są mocowane od strony użytkownika za pomocą wkrętów z łbem walcowym lub nakrętek sześciokątnych. W porównaniu do aluminiowych uchwytów pałąkowych wersja z tworzywa sztucznego wygrywa dzięki niewielkiej wadze i efektywności pod względem kosztów.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Oprócz uchwytów pałąkowych odpornych na działanie wysokiej temperatury KIPP przedstawi pod koniec roku m.in. stabilne uchwyty pałąkowe z zaokrąglonego aluminium oraz krótkie rękojeści ze stali nierdzewnej. Dzięki temu i tak już obszerny asortyment uchwytów zostanie ponownie powiększony. Klienci każdej branży znajdą czy to w katalogu, czy na stronie internetowej szeroki wybór uchwytów pałąkowych, łukowych, kasetowych, rurowych i profilowanych wykonanych z różnych materiałów. Firma KIPP wyznaczyła sobie za cel to, aby mieć w swojej ofercie elementy manipulacyjne w pełni zaspokajające potrzeby związane z branżą budowy maszyn i urządzeń.</w:t>
      </w:r>
    </w:p>
    <w:p w:rsidR="005325A5" w:rsidRPr="00591C67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EC7F30" w:rsidRDefault="003466D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</w:r>
      <w:r w:rsidR="00D91134">
        <w:rPr>
          <w:rFonts w:cs="Arial"/>
          <w:sz w:val="20"/>
        </w:rPr>
        <w:t>59 znaków</w:t>
      </w:r>
    </w:p>
    <w:p w:rsidR="00D91134" w:rsidRPr="00EC7F30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3466D6">
        <w:rPr>
          <w:rFonts w:cs="Arial"/>
          <w:sz w:val="20"/>
        </w:rPr>
        <w:tab/>
        <w:t xml:space="preserve">25 </w:t>
      </w:r>
      <w:r w:rsidR="003466D6">
        <w:rPr>
          <w:rFonts w:cs="Arial"/>
          <w:sz w:val="20"/>
        </w:rPr>
        <w:t>znaków</w:t>
      </w:r>
    </w:p>
    <w:p w:rsidR="00D91134" w:rsidRPr="00EC7F30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</w:r>
      <w:r w:rsidR="003466D6">
        <w:rPr>
          <w:rFonts w:cs="Arial"/>
          <w:sz w:val="20"/>
        </w:rPr>
        <w:t>1.730</w:t>
      </w:r>
      <w:r>
        <w:rPr>
          <w:rFonts w:cs="Arial"/>
          <w:sz w:val="20"/>
        </w:rPr>
        <w:t xml:space="preserve"> znaków</w:t>
      </w:r>
    </w:p>
    <w:p w:rsidR="00D91134" w:rsidRPr="003274EE" w:rsidRDefault="003466D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1.814</w:t>
      </w:r>
      <w:bookmarkStart w:id="0" w:name="_GoBack"/>
      <w:bookmarkEnd w:id="0"/>
      <w:r w:rsidR="00D91134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:rsidR="00CA5326" w:rsidRDefault="00CA5326">
      <w:pPr>
        <w:rPr>
          <w:noProof/>
        </w:rPr>
      </w:pPr>
    </w:p>
    <w:p w:rsidR="00C324AC" w:rsidRDefault="00C324AC">
      <w:pPr>
        <w:rPr>
          <w:noProof/>
        </w:rPr>
      </w:pPr>
    </w:p>
    <w:p w:rsidR="00CA5326" w:rsidRPr="003274EE" w:rsidRDefault="00CA5326" w:rsidP="00CA5326">
      <w:pPr>
        <w:pStyle w:val="berschrift3"/>
      </w:pPr>
      <w:r>
        <w:t>Dodatkowe informacje i zdjęcia prasowe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Pr="003466D6" w:rsidRDefault="00D07204" w:rsidP="002B249D">
            <w:pPr>
              <w:rPr>
                <w:sz w:val="20"/>
                <w:lang w:val="en-US"/>
              </w:rPr>
            </w:pPr>
            <w:r w:rsidRPr="003466D6">
              <w:rPr>
                <w:sz w:val="20"/>
                <w:lang w:val="en-US"/>
              </w:rPr>
              <w:t>Stabilność formy do 250°C</w:t>
            </w:r>
          </w:p>
          <w:p w:rsidR="00CA5326" w:rsidRPr="003466D6" w:rsidRDefault="00CA5326" w:rsidP="002B249D">
            <w:pPr>
              <w:rPr>
                <w:sz w:val="20"/>
                <w:lang w:val="en-US"/>
              </w:rPr>
            </w:pPr>
            <w:r w:rsidRPr="003466D6">
              <w:rPr>
                <w:sz w:val="20"/>
                <w:lang w:val="en-US"/>
              </w:rPr>
              <w:t xml:space="preserve">Zdjęcie: KIPP 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A" w:rsidRDefault="00F0766A">
      <w:r>
        <w:separator/>
      </w:r>
    </w:p>
  </w:endnote>
  <w:endnote w:type="continuationSeparator" w:id="0">
    <w:p w:rsidR="00F0766A" w:rsidRDefault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466D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A" w:rsidRDefault="00F0766A">
      <w:r>
        <w:separator/>
      </w:r>
    </w:p>
  </w:footnote>
  <w:footnote w:type="continuationSeparator" w:id="0">
    <w:p w:rsidR="00F0766A" w:rsidRDefault="00F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466D6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F095A"/>
    <w:rsid w:val="00D03E65"/>
    <w:rsid w:val="00D07204"/>
    <w:rsid w:val="00D12D81"/>
    <w:rsid w:val="00D158CF"/>
    <w:rsid w:val="00D4152F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DF43-8A1D-41C6-8431-CFFB412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3DC6D5A5.dotm</Template>
  <TotalTime>0</TotalTime>
  <Pages>2</Pages>
  <Words>316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2018-01-24T06:54:00Z</dcterms:modified>
</cp:coreProperties>
</file>