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817" w:rsidRPr="009A7F0D" w:rsidRDefault="00021C53" w:rsidP="00783817">
      <w:r>
        <w:rPr>
          <w:noProof/>
        </w:rPr>
        <w:drawing>
          <wp:anchor distT="0" distB="0" distL="114300" distR="114300" simplePos="0" relativeHeight="251658240" behindDoc="1" locked="0" layoutInCell="1" allowOverlap="1" wp14:anchorId="103940EE" wp14:editId="5CDC9BBB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>
        <w:rPr>
          <w:noProof/>
          <w:u w:val="single"/>
        </w:rPr>
        <w:t>Notatka prasowa</w:t>
      </w:r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b w:val="0"/>
          <w:sz w:val="22"/>
          <w:szCs w:val="22"/>
        </w:rPr>
        <w:t>Sulz am Neckar, sierpień 2017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C35191" w:rsidRPr="00601B0A" w:rsidRDefault="00650A7F" w:rsidP="00C35191">
      <w:pPr>
        <w:rPr>
          <w:rFonts w:cs="Arial"/>
          <w:sz w:val="22"/>
          <w:szCs w:val="22"/>
          <w:highlight w:val="yellow"/>
        </w:rPr>
      </w:pPr>
      <w:r>
        <w:rPr>
          <w:rFonts w:cs="Arial"/>
          <w:sz w:val="22"/>
          <w:szCs w:val="22"/>
        </w:rPr>
        <w:t>Maksimum kompatybilności</w:t>
      </w:r>
    </w:p>
    <w:p w:rsidR="00C35191" w:rsidRPr="00C35191" w:rsidRDefault="00650A7F" w:rsidP="00C35191">
      <w:pPr>
        <w:keepNext/>
        <w:spacing w:before="240" w:after="60"/>
        <w:outlineLvl w:val="0"/>
        <w:rPr>
          <w:rFonts w:eastAsia="Times"/>
          <w:b/>
          <w:kern w:val="32"/>
          <w:sz w:val="32"/>
          <w:szCs w:val="32"/>
          <w:lang w:eastAsia="x-none"/>
        </w:rPr>
      </w:pPr>
      <w:r>
        <w:rPr>
          <w:rFonts w:eastAsia="Times"/>
          <w:b/>
          <w:kern w:val="32"/>
          <w:sz w:val="32"/>
          <w:szCs w:val="32"/>
        </w:rPr>
        <w:t>Technika mocująca UNI lock to oszczędność czasu przezbrajania</w:t>
      </w:r>
    </w:p>
    <w:p w:rsidR="00874D03" w:rsidRPr="00874D03" w:rsidRDefault="00874D03" w:rsidP="00874D03">
      <w:pPr>
        <w:rPr>
          <w:lang w:eastAsia="x-none"/>
        </w:rPr>
      </w:pPr>
    </w:p>
    <w:p w:rsidR="00650A7F" w:rsidRPr="00650A7F" w:rsidRDefault="00650A7F" w:rsidP="00650A7F">
      <w:pPr>
        <w:spacing w:line="360" w:lineRule="auto"/>
        <w:rPr>
          <w:b/>
          <w:bCs/>
          <w:sz w:val="22"/>
          <w:szCs w:val="22"/>
          <w:lang w:eastAsia="x-none"/>
        </w:rPr>
      </w:pPr>
      <w:r>
        <w:rPr>
          <w:b/>
          <w:bCs/>
          <w:sz w:val="22"/>
          <w:szCs w:val="22"/>
        </w:rPr>
        <w:t>HEINRICH KIPP WERK oferuje wiele systemów mocowania, które są kompatybilne ze sobą. Przykładem może być system modułowy 5-osiowy UNI lock połączony z systemem mocowania z punktami zerowymi UNI lock.</w:t>
      </w:r>
    </w:p>
    <w:p w:rsidR="009A1A57" w:rsidRPr="009A1A57" w:rsidRDefault="009A1A57" w:rsidP="009A1A57">
      <w:pPr>
        <w:spacing w:line="360" w:lineRule="auto"/>
        <w:rPr>
          <w:b/>
          <w:bCs/>
          <w:sz w:val="22"/>
          <w:szCs w:val="22"/>
          <w:lang w:eastAsia="x-none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Katalog KIPP systemy mocowania zawiera wiele systemów i komponentów o modułowej konstrukcji. Są one kompatybilne ze sobą i można je dowolnie łączyć. </w:t>
      </w:r>
      <w:r>
        <w:rPr>
          <w:sz w:val="22"/>
          <w:szCs w:val="22"/>
        </w:rPr>
        <w:br/>
        <w:t>Dwa z tych systemów oznaczone jako „UNI lock” idealnie się uzupełniają. Połączenie „Systemu mocowania z punktami zerowymi” oraz „Systemu modułowego 5-osiowego” pozwala na bardzo wydajne wykorzystanie maszyny.</w:t>
      </w: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Stół maszynowy wyposażony jest w system mocowania z punktami zerowymi. Inne systemy mocowania KIPP, takie jak system modułowy 5-osiowy czy nawet imadło 5-osiowe, można wymienić w ciągu kilku sekund.</w:t>
      </w: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Założony system modułowy 5-osiowy znakomicie nadaje się do obróbki 5-stronnej złożonych detali o mniejszych i większych wymiarach. Przedmioty obrabiane mogą być mocowane w </w:t>
      </w:r>
      <w:r>
        <w:rPr>
          <w:sz w:val="22"/>
          <w:szCs w:val="22"/>
        </w:rPr>
        <w:br/>
        <w:t xml:space="preserve">systemie modułowym 5-osiowym lub bezpośrednio w systemie mocowania z punktami zerowymi. Okresy bezproduktywne, takie jak zmiana mocowania czy ustawianie przedmiotu obrabianego, są całkowicie eliminowane. </w:t>
      </w:r>
    </w:p>
    <w:p w:rsidR="00650A7F" w:rsidRPr="00650A7F" w:rsidRDefault="00650A7F" w:rsidP="00650A7F">
      <w:pPr>
        <w:spacing w:line="360" w:lineRule="auto"/>
        <w:rPr>
          <w:sz w:val="22"/>
          <w:szCs w:val="22"/>
        </w:rPr>
      </w:pPr>
    </w:p>
    <w:p w:rsidR="00650A7F" w:rsidRPr="0055416F" w:rsidRDefault="00650A7F" w:rsidP="00650A7F">
      <w:pPr>
        <w:spacing w:line="360" w:lineRule="auto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Precyzja powtarzalności obu systemów znajduje się w zakresie 0,005 mm. </w:t>
      </w:r>
      <w:r w:rsidRPr="0055416F">
        <w:rPr>
          <w:sz w:val="22"/>
          <w:szCs w:val="22"/>
          <w:lang w:val="en-US"/>
        </w:rPr>
        <w:t xml:space="preserve">Elementem centralnym jest sworzeń mocujący stosowany niezmiennie do wszystkich systemów mocujących. Dzięki dużemu wyborowi sworzni możliwe jest zamocowanie prawie każdego dowolnego przedmiotu. Sworznie mocujące blokowane </w:t>
      </w:r>
      <w:proofErr w:type="gramStart"/>
      <w:r w:rsidRPr="0055416F">
        <w:rPr>
          <w:sz w:val="22"/>
          <w:szCs w:val="22"/>
          <w:lang w:val="en-US"/>
        </w:rPr>
        <w:t>są</w:t>
      </w:r>
      <w:proofErr w:type="gramEnd"/>
      <w:r w:rsidRPr="0055416F">
        <w:rPr>
          <w:sz w:val="22"/>
          <w:szCs w:val="22"/>
          <w:lang w:val="en-US"/>
        </w:rPr>
        <w:t xml:space="preserve"> za pomocą elementu mocującego w sposób dopasowany kształtowo. </w:t>
      </w:r>
    </w:p>
    <w:p w:rsidR="00870A4B" w:rsidRPr="0055416F" w:rsidRDefault="00870A4B" w:rsidP="00650A7F">
      <w:pPr>
        <w:spacing w:line="360" w:lineRule="auto"/>
        <w:rPr>
          <w:sz w:val="22"/>
          <w:szCs w:val="22"/>
          <w:lang w:val="en-US"/>
        </w:rPr>
      </w:pPr>
    </w:p>
    <w:p w:rsidR="007A1191" w:rsidRPr="0055416F" w:rsidRDefault="00650A7F" w:rsidP="00650A7F">
      <w:pPr>
        <w:spacing w:line="360" w:lineRule="auto"/>
        <w:ind w:right="-40"/>
        <w:rPr>
          <w:sz w:val="22"/>
          <w:szCs w:val="22"/>
          <w:lang w:val="en-US"/>
        </w:rPr>
      </w:pPr>
      <w:r w:rsidRPr="0055416F">
        <w:rPr>
          <w:sz w:val="22"/>
          <w:szCs w:val="22"/>
          <w:lang w:val="en-US"/>
        </w:rPr>
        <w:t xml:space="preserve">System modułowy 5-osiowy firmy KIPP dzięki rozszerzeniu dostępny jest nie tylko w rozmiarze systemowym 80 mm, ale również w rozmiarze systemowym 50 mm. Oba można łączyć ze sobą w jednym zamocowaniu. Daje to dalsze wszechstronne możliwości mocowania przedmiotu obrabianego. </w:t>
      </w:r>
    </w:p>
    <w:p w:rsidR="009A1A57" w:rsidRDefault="00650A7F" w:rsidP="00650A7F">
      <w:pPr>
        <w:spacing w:line="360" w:lineRule="auto"/>
        <w:ind w:right="-40"/>
        <w:rPr>
          <w:sz w:val="22"/>
          <w:szCs w:val="22"/>
        </w:rPr>
      </w:pPr>
      <w:r>
        <w:rPr>
          <w:sz w:val="22"/>
          <w:szCs w:val="22"/>
        </w:rPr>
        <w:lastRenderedPageBreak/>
        <w:t>Zalety systemu 50 mm: możliwość optymalnego wykonania 5-stronnej obróbki niewielkich detali bez zakłócających krawędzi. Siła zacisku wynosi do 10 kN.</w:t>
      </w:r>
    </w:p>
    <w:p w:rsidR="0055416F" w:rsidRDefault="0055416F" w:rsidP="00650A7F">
      <w:pPr>
        <w:spacing w:line="360" w:lineRule="auto"/>
        <w:ind w:right="-40"/>
        <w:rPr>
          <w:sz w:val="22"/>
          <w:szCs w:val="22"/>
        </w:rPr>
      </w:pPr>
    </w:p>
    <w:p w:rsidR="0055416F" w:rsidRPr="00591C67" w:rsidRDefault="0055416F" w:rsidP="00650A7F">
      <w:pPr>
        <w:spacing w:line="360" w:lineRule="auto"/>
        <w:ind w:right="-40"/>
        <w:rPr>
          <w:rFonts w:cs="Arial"/>
          <w:color w:val="000000"/>
          <w:sz w:val="22"/>
          <w:szCs w:val="22"/>
        </w:rPr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>
        <w:rPr>
          <w:rFonts w:cs="Arial"/>
          <w:sz w:val="20"/>
          <w:u w:val="single"/>
        </w:rPr>
        <w:t>Znaków ze spacjami:</w:t>
      </w:r>
    </w:p>
    <w:p w:rsidR="00D91134" w:rsidRPr="0063409C" w:rsidRDefault="0055416F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Nagłówek:</w:t>
      </w:r>
      <w:r>
        <w:rPr>
          <w:rFonts w:cs="Arial"/>
          <w:sz w:val="20"/>
        </w:rPr>
        <w:tab/>
        <w:t>61</w:t>
      </w:r>
      <w:r w:rsidR="00D91134">
        <w:rPr>
          <w:rFonts w:cs="Arial"/>
          <w:sz w:val="20"/>
        </w:rPr>
        <w:t xml:space="preserve"> znaków</w:t>
      </w:r>
    </w:p>
    <w:p w:rsidR="00D91134" w:rsidRPr="0063409C" w:rsidRDefault="0055416F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Wstęp</w:t>
      </w:r>
      <w:proofErr w:type="gramStart"/>
      <w:r>
        <w:rPr>
          <w:rFonts w:cs="Arial"/>
          <w:sz w:val="20"/>
        </w:rPr>
        <w:t>::</w:t>
      </w:r>
      <w:proofErr w:type="gramEnd"/>
      <w:r>
        <w:rPr>
          <w:rFonts w:cs="Arial"/>
          <w:sz w:val="20"/>
        </w:rPr>
        <w:tab/>
        <w:t> 24</w:t>
      </w:r>
      <w:r w:rsidR="0008715A">
        <w:rPr>
          <w:rFonts w:cs="Arial"/>
          <w:sz w:val="20"/>
        </w:rPr>
        <w:t xml:space="preserve"> </w:t>
      </w:r>
      <w:r>
        <w:rPr>
          <w:rFonts w:cs="Arial"/>
          <w:sz w:val="20"/>
        </w:rPr>
        <w:t>znaków</w:t>
      </w:r>
    </w:p>
    <w:p w:rsidR="00D91134" w:rsidRPr="0063409C" w:rsidRDefault="0055416F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Tekst:</w:t>
      </w:r>
      <w:r>
        <w:rPr>
          <w:rFonts w:cs="Arial"/>
          <w:sz w:val="20"/>
        </w:rPr>
        <w:tab/>
        <w:t>1.910</w:t>
      </w:r>
      <w:r w:rsidR="00D91134">
        <w:rPr>
          <w:rFonts w:cs="Arial"/>
          <w:sz w:val="20"/>
        </w:rPr>
        <w:t xml:space="preserve"> znaków</w:t>
      </w:r>
    </w:p>
    <w:p w:rsidR="00D91134" w:rsidRPr="003274EE" w:rsidRDefault="0055416F" w:rsidP="00D91134">
      <w:pPr>
        <w:tabs>
          <w:tab w:val="right" w:pos="2410"/>
        </w:tabs>
        <w:rPr>
          <w:rFonts w:cs="Arial"/>
          <w:sz w:val="20"/>
        </w:rPr>
      </w:pPr>
      <w:r>
        <w:rPr>
          <w:rFonts w:cs="Arial"/>
          <w:sz w:val="20"/>
        </w:rPr>
        <w:t>Łącznie:</w:t>
      </w:r>
      <w:r>
        <w:rPr>
          <w:rFonts w:cs="Arial"/>
          <w:sz w:val="20"/>
        </w:rPr>
        <w:tab/>
        <w:t>1.995</w:t>
      </w:r>
      <w:bookmarkStart w:id="0" w:name="_GoBack"/>
      <w:bookmarkEnd w:id="0"/>
      <w:r w:rsidR="00D91134">
        <w:rPr>
          <w:rFonts w:cs="Arial"/>
          <w:sz w:val="20"/>
        </w:rPr>
        <w:t xml:space="preserve"> znaków</w:t>
      </w:r>
    </w:p>
    <w:p w:rsidR="00D91134" w:rsidRDefault="00D91134" w:rsidP="00D91134">
      <w:pPr>
        <w:rPr>
          <w:rFonts w:cs="Arial"/>
          <w:sz w:val="20"/>
        </w:rPr>
      </w:pPr>
    </w:p>
    <w:p w:rsidR="00F94190" w:rsidRDefault="00F94190" w:rsidP="00F94190">
      <w:pPr>
        <w:tabs>
          <w:tab w:val="left" w:pos="4020"/>
        </w:tabs>
        <w:rPr>
          <w:noProof/>
        </w:rPr>
      </w:pP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KIPP POLSKA SP. Z O.O.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Przemysław Słaby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ul. Ostrowskiego 7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53-238 Wrocław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>Telefon: 71 339 21 44</w:t>
      </w:r>
    </w:p>
    <w:p w:rsidR="00F94190" w:rsidRPr="00F117B2" w:rsidRDefault="00874552" w:rsidP="00F117B2">
      <w:pPr>
        <w:rPr>
          <w:sz w:val="20"/>
          <w:szCs w:val="20"/>
        </w:rPr>
      </w:pPr>
      <w:r>
        <w:rPr>
          <w:sz w:val="20"/>
          <w:szCs w:val="20"/>
        </w:rPr>
        <w:t>E-mail: przemyslaw.slaby@kipp.pl</w:t>
      </w:r>
    </w:p>
    <w:p w:rsidR="00CA5326" w:rsidRDefault="00CA5326">
      <w:pPr>
        <w:rPr>
          <w:noProof/>
        </w:rPr>
      </w:pPr>
      <w:r>
        <w:rPr>
          <w:noProof/>
        </w:rPr>
        <w:br w:type="page"/>
      </w:r>
    </w:p>
    <w:p w:rsidR="00CA5326" w:rsidRPr="003274EE" w:rsidRDefault="00CA5326" w:rsidP="00CA5326">
      <w:pPr>
        <w:pStyle w:val="berschrift3"/>
      </w:pPr>
      <w:r>
        <w:lastRenderedPageBreak/>
        <w:t>Dodatkowe informacje i zdjęcia prasowe</w:t>
      </w:r>
    </w:p>
    <w:p w:rsidR="00CA5326" w:rsidRDefault="00CA5326" w:rsidP="00CA5326">
      <w:pPr>
        <w:rPr>
          <w:sz w:val="20"/>
        </w:rPr>
      </w:pPr>
      <w:r>
        <w:rPr>
          <w:sz w:val="20"/>
        </w:rPr>
        <w:t>Zob. www.kipp.pl, Rubryka: Aktualności/prasa</w:t>
      </w:r>
    </w:p>
    <w:p w:rsidR="00CA5326" w:rsidRPr="00634D5D" w:rsidRDefault="00CA5326" w:rsidP="00CA5326">
      <w:pPr>
        <w:rPr>
          <w:sz w:val="20"/>
        </w:rPr>
      </w:pPr>
    </w:p>
    <w:p w:rsidR="00CA5326" w:rsidRPr="003274EE" w:rsidRDefault="00CA5326" w:rsidP="00CA5326">
      <w:pPr>
        <w:rPr>
          <w:rFonts w:cs="Arial"/>
          <w:sz w:val="20"/>
          <w:szCs w:val="20"/>
        </w:rPr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</w:p>
    <w:p w:rsidR="00CA5326" w:rsidRDefault="00CA5326" w:rsidP="00CA5326">
      <w:pPr>
        <w:pStyle w:val="berschrift3"/>
      </w:pPr>
      <w:r>
        <w:t>Foto</w:t>
      </w:r>
      <w:r>
        <w:tab/>
      </w:r>
    </w:p>
    <w:p w:rsidR="00CA5326" w:rsidRPr="008A4372" w:rsidRDefault="00CA5326" w:rsidP="00CA5326"/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CA5326" w:rsidRPr="003274EE" w:rsidTr="00AD54D2">
        <w:tc>
          <w:tcPr>
            <w:tcW w:w="5274" w:type="dxa"/>
          </w:tcPr>
          <w:p w:rsidR="00BA6B79" w:rsidRDefault="004E518E" w:rsidP="002B249D">
            <w:pPr>
              <w:rPr>
                <w:sz w:val="20"/>
              </w:rPr>
            </w:pPr>
            <w:r>
              <w:rPr>
                <w:sz w:val="20"/>
              </w:rPr>
              <w:t>Technika mocująca UNI lock to oszczędność czasu przezbrajania.</w:t>
            </w:r>
          </w:p>
          <w:p w:rsidR="00CA5326" w:rsidRDefault="00CA5326" w:rsidP="002B249D">
            <w:pPr>
              <w:rPr>
                <w:sz w:val="20"/>
              </w:rPr>
            </w:pPr>
            <w:r>
              <w:rPr>
                <w:sz w:val="20"/>
              </w:rPr>
              <w:t xml:space="preserve">Zdjęcie: KIPP </w:t>
            </w:r>
          </w:p>
          <w:p w:rsidR="00CA5326" w:rsidRPr="00362FE9" w:rsidRDefault="004E518E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2481FB7" wp14:editId="03F59131">
                  <wp:extent cx="3200400" cy="2133039"/>
                  <wp:effectExtent l="0" t="0" r="0" b="63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-Baugruppe-UNI-lock-01-klei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9314" cy="213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noProof/>
                <w:sz w:val="20"/>
              </w:rPr>
            </w:pPr>
          </w:p>
          <w:p w:rsidR="00CA5326" w:rsidRDefault="00CA5326" w:rsidP="002B249D">
            <w:pPr>
              <w:rPr>
                <w:sz w:val="20"/>
              </w:rPr>
            </w:pPr>
          </w:p>
          <w:p w:rsidR="00554439" w:rsidRDefault="00CA5326" w:rsidP="00554439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CA5326" w:rsidRPr="00ED01E4" w:rsidRDefault="003B74D5" w:rsidP="00F170CD">
            <w:pPr>
              <w:rPr>
                <w:sz w:val="20"/>
              </w:rPr>
            </w:pPr>
            <w:r>
              <w:rPr>
                <w:sz w:val="20"/>
              </w:rPr>
              <w:t>KIPP-Werkstückspannung-UNI lock-01.jpg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274"/>
        <w:gridCol w:w="4109"/>
      </w:tblGrid>
      <w:tr w:rsidR="00925271" w:rsidRPr="003274EE" w:rsidTr="00AD54D2">
        <w:tc>
          <w:tcPr>
            <w:tcW w:w="5274" w:type="dxa"/>
          </w:tcPr>
          <w:p w:rsidR="004E518E" w:rsidRDefault="004E518E" w:rsidP="004E518E">
            <w:pPr>
              <w:rPr>
                <w:sz w:val="20"/>
              </w:rPr>
            </w:pPr>
            <w:r>
              <w:rPr>
                <w:sz w:val="20"/>
              </w:rPr>
              <w:t xml:space="preserve">KIPP 5-osiowy system modułowy UNI lock. </w:t>
            </w:r>
          </w:p>
          <w:p w:rsidR="00925271" w:rsidRDefault="00925271" w:rsidP="00F85ED0">
            <w:pPr>
              <w:rPr>
                <w:sz w:val="20"/>
              </w:rPr>
            </w:pPr>
            <w:r>
              <w:rPr>
                <w:sz w:val="20"/>
              </w:rPr>
              <w:t xml:space="preserve">Zdjęcie: KIPP </w:t>
            </w:r>
          </w:p>
          <w:p w:rsidR="00925271" w:rsidRPr="00362FE9" w:rsidRDefault="004E518E" w:rsidP="00F85ED0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51ED372" wp14:editId="3AA2A8D6">
                  <wp:extent cx="3177540" cy="2117802"/>
                  <wp:effectExtent l="0" t="0" r="381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IPP-Baugruppe-UNI-lock-02-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1403" cy="212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noProof/>
                <w:sz w:val="20"/>
              </w:rPr>
            </w:pPr>
          </w:p>
          <w:p w:rsidR="00925271" w:rsidRDefault="00925271" w:rsidP="00F85ED0">
            <w:pPr>
              <w:rPr>
                <w:sz w:val="20"/>
              </w:rPr>
            </w:pPr>
          </w:p>
          <w:p w:rsidR="00925271" w:rsidRDefault="00925271" w:rsidP="00F85ED0">
            <w:pPr>
              <w:rPr>
                <w:sz w:val="20"/>
              </w:rPr>
            </w:pPr>
            <w:r>
              <w:rPr>
                <w:sz w:val="20"/>
              </w:rPr>
              <w:t xml:space="preserve">Plik obrazu: </w:t>
            </w:r>
          </w:p>
          <w:p w:rsidR="00925271" w:rsidRPr="00ED01E4" w:rsidRDefault="00925271" w:rsidP="004E518E">
            <w:pPr>
              <w:rPr>
                <w:sz w:val="20"/>
              </w:rPr>
            </w:pPr>
            <w:r>
              <w:rPr>
                <w:sz w:val="20"/>
              </w:rPr>
              <w:t>KIPP-Werkstückspannung-UNI lock-02.jpg</w:t>
            </w:r>
          </w:p>
        </w:tc>
      </w:tr>
    </w:tbl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925271" w:rsidRDefault="00925271" w:rsidP="00CA5326">
      <w:pPr>
        <w:ind w:left="-79"/>
        <w:rPr>
          <w:sz w:val="16"/>
          <w:szCs w:val="16"/>
        </w:rPr>
      </w:pPr>
    </w:p>
    <w:p w:rsidR="00CA5326" w:rsidRDefault="00CA5326" w:rsidP="00CA5326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Prawa autorskie: udostępnione do bezpłatnej publikacji w mediach branżowych. </w:t>
      </w:r>
    </w:p>
    <w:p w:rsidR="00783817" w:rsidRPr="00326861" w:rsidRDefault="00CA5326" w:rsidP="00326861">
      <w:pPr>
        <w:ind w:left="-79"/>
        <w:rPr>
          <w:sz w:val="16"/>
          <w:szCs w:val="16"/>
        </w:rPr>
      </w:pPr>
      <w:r>
        <w:rPr>
          <w:sz w:val="16"/>
          <w:szCs w:val="16"/>
        </w:rPr>
        <w:t xml:space="preserve">Z prośbą o podanie źródła. </w:t>
      </w:r>
    </w:p>
    <w:sectPr w:rsidR="00783817" w:rsidRPr="00326861" w:rsidSect="00783817">
      <w:footerReference w:type="default" r:id="rId10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2D8" w:rsidRDefault="006F12D8">
      <w:r>
        <w:separator/>
      </w:r>
    </w:p>
  </w:endnote>
  <w:endnote w:type="continuationSeparator" w:id="0">
    <w:p w:rsidR="006F12D8" w:rsidRDefault="006F1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55416F">
      <w:rPr>
        <w:rStyle w:val="Seitenzahl"/>
        <w:noProof/>
      </w:rPr>
      <w:t>3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2D8" w:rsidRDefault="006F12D8">
      <w:r>
        <w:separator/>
      </w:r>
    </w:p>
  </w:footnote>
  <w:footnote w:type="continuationSeparator" w:id="0">
    <w:p w:rsidR="006F12D8" w:rsidRDefault="006F1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" w:dllVersion="2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4350D"/>
    <w:rsid w:val="000549C5"/>
    <w:rsid w:val="00056683"/>
    <w:rsid w:val="00075035"/>
    <w:rsid w:val="0008715A"/>
    <w:rsid w:val="0009007F"/>
    <w:rsid w:val="00096AA0"/>
    <w:rsid w:val="000B2E15"/>
    <w:rsid w:val="000C2BCB"/>
    <w:rsid w:val="000C3B6A"/>
    <w:rsid w:val="000F704C"/>
    <w:rsid w:val="00103BD2"/>
    <w:rsid w:val="001329B3"/>
    <w:rsid w:val="001339DE"/>
    <w:rsid w:val="00155689"/>
    <w:rsid w:val="00156D91"/>
    <w:rsid w:val="00173AD9"/>
    <w:rsid w:val="001A3A33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9081D"/>
    <w:rsid w:val="00295C9A"/>
    <w:rsid w:val="002A041D"/>
    <w:rsid w:val="002A3A5D"/>
    <w:rsid w:val="002B6803"/>
    <w:rsid w:val="002D7C6C"/>
    <w:rsid w:val="002E6D66"/>
    <w:rsid w:val="002F063A"/>
    <w:rsid w:val="003143CF"/>
    <w:rsid w:val="00315E40"/>
    <w:rsid w:val="0032074C"/>
    <w:rsid w:val="00326861"/>
    <w:rsid w:val="003336E6"/>
    <w:rsid w:val="003376F5"/>
    <w:rsid w:val="00344FF7"/>
    <w:rsid w:val="00357E6C"/>
    <w:rsid w:val="00392FF3"/>
    <w:rsid w:val="003A002F"/>
    <w:rsid w:val="003A7D55"/>
    <w:rsid w:val="003B00AD"/>
    <w:rsid w:val="003B74D5"/>
    <w:rsid w:val="003C1386"/>
    <w:rsid w:val="00415C62"/>
    <w:rsid w:val="0042198B"/>
    <w:rsid w:val="00434B17"/>
    <w:rsid w:val="004375D2"/>
    <w:rsid w:val="0044492E"/>
    <w:rsid w:val="00444C4B"/>
    <w:rsid w:val="00451752"/>
    <w:rsid w:val="0045707C"/>
    <w:rsid w:val="004711A8"/>
    <w:rsid w:val="00496518"/>
    <w:rsid w:val="004B015B"/>
    <w:rsid w:val="004C2291"/>
    <w:rsid w:val="004D4A97"/>
    <w:rsid w:val="004E518E"/>
    <w:rsid w:val="004F447B"/>
    <w:rsid w:val="004F6FFA"/>
    <w:rsid w:val="00500BD4"/>
    <w:rsid w:val="005100EC"/>
    <w:rsid w:val="00535106"/>
    <w:rsid w:val="00536A35"/>
    <w:rsid w:val="0055416F"/>
    <w:rsid w:val="00554439"/>
    <w:rsid w:val="0055746C"/>
    <w:rsid w:val="005814C8"/>
    <w:rsid w:val="005904DC"/>
    <w:rsid w:val="00595330"/>
    <w:rsid w:val="005A5A84"/>
    <w:rsid w:val="005C36E8"/>
    <w:rsid w:val="005D170A"/>
    <w:rsid w:val="005D5624"/>
    <w:rsid w:val="005D6098"/>
    <w:rsid w:val="00601B0A"/>
    <w:rsid w:val="00612A8E"/>
    <w:rsid w:val="00616E71"/>
    <w:rsid w:val="0062373C"/>
    <w:rsid w:val="0063409C"/>
    <w:rsid w:val="00645FBD"/>
    <w:rsid w:val="00650A7F"/>
    <w:rsid w:val="00677302"/>
    <w:rsid w:val="006D4F61"/>
    <w:rsid w:val="006E09D7"/>
    <w:rsid w:val="006E623B"/>
    <w:rsid w:val="006E7A95"/>
    <w:rsid w:val="006F12D8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742E"/>
    <w:rsid w:val="007819BF"/>
    <w:rsid w:val="007827D1"/>
    <w:rsid w:val="007833B0"/>
    <w:rsid w:val="00783817"/>
    <w:rsid w:val="00786BAF"/>
    <w:rsid w:val="007A1191"/>
    <w:rsid w:val="007B482A"/>
    <w:rsid w:val="007C52A3"/>
    <w:rsid w:val="007C531D"/>
    <w:rsid w:val="007E0E6C"/>
    <w:rsid w:val="007E69EF"/>
    <w:rsid w:val="00814DDB"/>
    <w:rsid w:val="00831AFC"/>
    <w:rsid w:val="0083468D"/>
    <w:rsid w:val="00853954"/>
    <w:rsid w:val="00856392"/>
    <w:rsid w:val="00866A85"/>
    <w:rsid w:val="00870A4B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933EC"/>
    <w:rsid w:val="008B0E60"/>
    <w:rsid w:val="008B1CC1"/>
    <w:rsid w:val="00900E9C"/>
    <w:rsid w:val="00922B88"/>
    <w:rsid w:val="00925271"/>
    <w:rsid w:val="009279A4"/>
    <w:rsid w:val="00943D25"/>
    <w:rsid w:val="0095515C"/>
    <w:rsid w:val="009623CB"/>
    <w:rsid w:val="00967469"/>
    <w:rsid w:val="00972AB9"/>
    <w:rsid w:val="009A1A57"/>
    <w:rsid w:val="009A3246"/>
    <w:rsid w:val="009C763F"/>
    <w:rsid w:val="009D0204"/>
    <w:rsid w:val="009E504F"/>
    <w:rsid w:val="009E513A"/>
    <w:rsid w:val="00A16E43"/>
    <w:rsid w:val="00A35CA2"/>
    <w:rsid w:val="00A372BE"/>
    <w:rsid w:val="00A3733C"/>
    <w:rsid w:val="00A3789F"/>
    <w:rsid w:val="00A42E0D"/>
    <w:rsid w:val="00A60D1F"/>
    <w:rsid w:val="00A6226B"/>
    <w:rsid w:val="00A74BF6"/>
    <w:rsid w:val="00A84517"/>
    <w:rsid w:val="00A94282"/>
    <w:rsid w:val="00AA3FDA"/>
    <w:rsid w:val="00AB0D79"/>
    <w:rsid w:val="00AD09BD"/>
    <w:rsid w:val="00AD54D2"/>
    <w:rsid w:val="00AE0177"/>
    <w:rsid w:val="00AF76CF"/>
    <w:rsid w:val="00B234EB"/>
    <w:rsid w:val="00B54720"/>
    <w:rsid w:val="00B57513"/>
    <w:rsid w:val="00B6627A"/>
    <w:rsid w:val="00B77102"/>
    <w:rsid w:val="00B8324B"/>
    <w:rsid w:val="00BA6B79"/>
    <w:rsid w:val="00BA7DFB"/>
    <w:rsid w:val="00BB5701"/>
    <w:rsid w:val="00BE3937"/>
    <w:rsid w:val="00BF3FE9"/>
    <w:rsid w:val="00C14180"/>
    <w:rsid w:val="00C1463D"/>
    <w:rsid w:val="00C2391F"/>
    <w:rsid w:val="00C35191"/>
    <w:rsid w:val="00C43B71"/>
    <w:rsid w:val="00C56C4B"/>
    <w:rsid w:val="00C7668C"/>
    <w:rsid w:val="00C873E0"/>
    <w:rsid w:val="00C97127"/>
    <w:rsid w:val="00CA13FC"/>
    <w:rsid w:val="00CA5326"/>
    <w:rsid w:val="00CC06B6"/>
    <w:rsid w:val="00CC5D7A"/>
    <w:rsid w:val="00CE3033"/>
    <w:rsid w:val="00D12D81"/>
    <w:rsid w:val="00D158CF"/>
    <w:rsid w:val="00D237A6"/>
    <w:rsid w:val="00D610DD"/>
    <w:rsid w:val="00D74F3D"/>
    <w:rsid w:val="00D8580E"/>
    <w:rsid w:val="00D85EBD"/>
    <w:rsid w:val="00D90044"/>
    <w:rsid w:val="00D91134"/>
    <w:rsid w:val="00DA6035"/>
    <w:rsid w:val="00DB120E"/>
    <w:rsid w:val="00DD7BB1"/>
    <w:rsid w:val="00DE4BEA"/>
    <w:rsid w:val="00DE744E"/>
    <w:rsid w:val="00E02875"/>
    <w:rsid w:val="00E11211"/>
    <w:rsid w:val="00E60EE7"/>
    <w:rsid w:val="00E767F8"/>
    <w:rsid w:val="00E86C10"/>
    <w:rsid w:val="00E94511"/>
    <w:rsid w:val="00EA130D"/>
    <w:rsid w:val="00EA603D"/>
    <w:rsid w:val="00EB5159"/>
    <w:rsid w:val="00EC0016"/>
    <w:rsid w:val="00EC00AB"/>
    <w:rsid w:val="00EC7BC4"/>
    <w:rsid w:val="00EC7F30"/>
    <w:rsid w:val="00ED3596"/>
    <w:rsid w:val="00ED3875"/>
    <w:rsid w:val="00ED4CB2"/>
    <w:rsid w:val="00ED6205"/>
    <w:rsid w:val="00F03034"/>
    <w:rsid w:val="00F0556A"/>
    <w:rsid w:val="00F101F6"/>
    <w:rsid w:val="00F117B2"/>
    <w:rsid w:val="00F170CD"/>
    <w:rsid w:val="00F20DD1"/>
    <w:rsid w:val="00F25A67"/>
    <w:rsid w:val="00F31E3B"/>
    <w:rsid w:val="00F33E36"/>
    <w:rsid w:val="00F720F0"/>
    <w:rsid w:val="00F87931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6A53F494.dotm</Template>
  <TotalTime>0</TotalTime>
  <Pages>3</Pages>
  <Words>358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WezelHeike</cp:lastModifiedBy>
  <cp:revision>24</cp:revision>
  <cp:lastPrinted>2017-08-03T13:38:00Z</cp:lastPrinted>
  <dcterms:created xsi:type="dcterms:W3CDTF">2017-08-03T09:57:00Z</dcterms:created>
  <dcterms:modified xsi:type="dcterms:W3CDTF">2017-08-30T06:33:00Z</dcterms:modified>
</cp:coreProperties>
</file>